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333" w:rsidRDefault="00B02C46" w:rsidP="00B02C46">
      <w:pPr>
        <w:pStyle w:val="Heading1"/>
      </w:pPr>
      <w:r>
        <w:t xml:space="preserve">Work plan for NAWQA National Synthesis Trends in Nitrate </w:t>
      </w:r>
    </w:p>
    <w:p w:rsidR="00B02C46" w:rsidRDefault="00B02C46" w:rsidP="00B02C46"/>
    <w:p w:rsidR="000B4A9A" w:rsidRDefault="00EC011B" w:rsidP="00B02C46">
      <w:r>
        <w:t>Goal: De</w:t>
      </w:r>
      <w:r w:rsidR="007E5505">
        <w:t>velop a tool to help de</w:t>
      </w:r>
      <w:r>
        <w:t>termine nitrate rate of change for different depth zones</w:t>
      </w:r>
      <w:r w:rsidR="000B4A9A">
        <w:t xml:space="preserve"> or volumes of aquifer</w:t>
      </w:r>
      <w:r>
        <w:t xml:space="preserve"> within the Central Valley </w:t>
      </w:r>
      <w:r w:rsidR="007E5505">
        <w:t>A</w:t>
      </w:r>
      <w:r>
        <w:t>quifer</w:t>
      </w:r>
      <w:r w:rsidR="000B4A9A">
        <w:t xml:space="preserve">. This tool </w:t>
      </w:r>
      <w:r w:rsidR="00A3358B">
        <w:t xml:space="preserve">can </w:t>
      </w:r>
      <w:r w:rsidR="000B4A9A">
        <w:t>then</w:t>
      </w:r>
      <w:r>
        <w:t xml:space="preserve"> be </w:t>
      </w:r>
      <w:r w:rsidR="007E5505">
        <w:t xml:space="preserve">used </w:t>
      </w:r>
      <w:r w:rsidR="000B4A9A">
        <w:t xml:space="preserve">to define nitrate rate of change </w:t>
      </w:r>
      <w:r w:rsidR="007A0DC8">
        <w:t xml:space="preserve">(or any other specified constituent) </w:t>
      </w:r>
      <w:r w:rsidR="007E5505">
        <w:t>in</w:t>
      </w:r>
      <w:r>
        <w:t xml:space="preserve"> other principal aquifers</w:t>
      </w:r>
      <w:r w:rsidR="007E5505">
        <w:t>.</w:t>
      </w:r>
    </w:p>
    <w:p w:rsidR="000B4A9A" w:rsidRDefault="000B4A9A" w:rsidP="005754F4">
      <w:pPr>
        <w:pStyle w:val="Heading1"/>
      </w:pPr>
      <w:r>
        <w:t>Abstract:</w:t>
      </w:r>
    </w:p>
    <w:p w:rsidR="00CA73B0" w:rsidRDefault="00C07DEF" w:rsidP="00B02C46">
      <w:r>
        <w:t xml:space="preserve">Nitrate has impacted several principal aquifers across the United States. High nitrate concentrations have been widely reported throughout the Central Valley Aquifer, which occur primarily as a result of agricultural fertilizer use. </w:t>
      </w:r>
      <w:r w:rsidR="00D93F99">
        <w:t>Previous studies</w:t>
      </w:r>
      <w:r w:rsidR="009C37BC" w:rsidRPr="009C37BC">
        <w:t xml:space="preserve"> </w:t>
      </w:r>
      <w:r w:rsidR="009C37BC">
        <w:t>by the National Water Quality Assessment (NAWQA) Program</w:t>
      </w:r>
      <w:r w:rsidR="00D93F99">
        <w:t xml:space="preserve"> within the San Joaquin Valley</w:t>
      </w:r>
      <w:r w:rsidR="009C37BC" w:rsidRPr="009C37BC">
        <w:t xml:space="preserve"> </w:t>
      </w:r>
      <w:r w:rsidR="009C37BC">
        <w:t>found that nitrate is high in shallow, domestic wells</w:t>
      </w:r>
      <w:r w:rsidR="00D93F99">
        <w:t xml:space="preserve"> and is moving downward to deeper parts of the aquifer </w:t>
      </w:r>
      <w:r w:rsidR="009C37BC">
        <w:t>affecting wells that are typically used for public-supply. Recently, t</w:t>
      </w:r>
      <w:r>
        <w:t xml:space="preserve">he Ground Water Ambient Monitoring and Assessment (GAMA) Priority Basin Project </w:t>
      </w:r>
      <w:r w:rsidR="00D62831">
        <w:t>has been conducting</w:t>
      </w:r>
      <w:r>
        <w:t xml:space="preserve"> a </w:t>
      </w:r>
      <w:r w:rsidR="003423B5">
        <w:t>water-quality investigation of untreated ground water</w:t>
      </w:r>
      <w:r>
        <w:t xml:space="preserve"> in </w:t>
      </w:r>
      <w:r w:rsidR="009C37BC">
        <w:t>public-supply wells</w:t>
      </w:r>
      <w:r>
        <w:t xml:space="preserve"> in the Central Valley. </w:t>
      </w:r>
      <w:r w:rsidR="005B147D">
        <w:t>D</w:t>
      </w:r>
      <w:r w:rsidR="00CA73B0">
        <w:t xml:space="preserve">ata from these two studies along with data from past studies conducted throughout the Central Valley provide a rich data set from which to evaluate nitrate rate of change in shallow parts of the aquifer and deep parts of the aquifer as defined by domestic and public-supply wells. </w:t>
      </w:r>
    </w:p>
    <w:p w:rsidR="00D62831" w:rsidRDefault="00CA73B0">
      <w:r>
        <w:t>In order to evaluate changes in nitrate concentrations in shallow and deep parts of the aquifer through time, a systematic way of producing representative nitrate concentrations for differe</w:t>
      </w:r>
      <w:r w:rsidR="00F1195D">
        <w:t>nt depth zones must be employed</w:t>
      </w:r>
      <w:r>
        <w:t xml:space="preserve">. </w:t>
      </w:r>
      <w:r w:rsidR="000E5D12">
        <w:t>Because most p</w:t>
      </w:r>
      <w:r w:rsidR="00F1195D">
        <w:t>ublic-supply wells tend to be located in areas of high population</w:t>
      </w:r>
      <w:r w:rsidR="000E5D12">
        <w:t xml:space="preserve">, the computation of average </w:t>
      </w:r>
      <w:r w:rsidR="00F1195D">
        <w:t xml:space="preserve">nitrate concentrations </w:t>
      </w:r>
      <w:r w:rsidR="000E5D12">
        <w:t>across large areas</w:t>
      </w:r>
      <w:r w:rsidR="00F1195D">
        <w:t xml:space="preserve"> will tend to be biased towards</w:t>
      </w:r>
      <w:r w:rsidR="000E5D12">
        <w:t xml:space="preserve"> the average concentration of</w:t>
      </w:r>
      <w:r w:rsidR="00F1195D">
        <w:t xml:space="preserve"> </w:t>
      </w:r>
      <w:r w:rsidR="000E5D12">
        <w:t>urban centers where the density of public-supply wells is high</w:t>
      </w:r>
      <w:r w:rsidR="00F1195D">
        <w:t xml:space="preserve">. </w:t>
      </w:r>
      <w:proofErr w:type="spellStart"/>
      <w:r>
        <w:t>Belitz</w:t>
      </w:r>
      <w:proofErr w:type="spellEnd"/>
      <w:r>
        <w:t xml:space="preserve"> and others </w:t>
      </w:r>
      <w:r w:rsidR="00D62831">
        <w:t xml:space="preserve">(in review) recently </w:t>
      </w:r>
      <w:r w:rsidR="003423B5">
        <w:t>modified the cell-</w:t>
      </w:r>
      <w:proofErr w:type="spellStart"/>
      <w:r w:rsidR="003423B5">
        <w:t>declustering</w:t>
      </w:r>
      <w:proofErr w:type="spellEnd"/>
      <w:r w:rsidR="003423B5">
        <w:t xml:space="preserve"> method described in </w:t>
      </w:r>
      <w:proofErr w:type="spellStart"/>
      <w:r w:rsidR="003423B5">
        <w:t>Isaaks</w:t>
      </w:r>
      <w:proofErr w:type="spellEnd"/>
      <w:r w:rsidR="003423B5">
        <w:t xml:space="preserve"> and </w:t>
      </w:r>
      <w:proofErr w:type="spellStart"/>
      <w:r w:rsidR="003423B5">
        <w:t>Srivastava</w:t>
      </w:r>
      <w:proofErr w:type="spellEnd"/>
      <w:r w:rsidR="003423B5">
        <w:t xml:space="preserve"> (1989)</w:t>
      </w:r>
      <w:r w:rsidR="00912E0F">
        <w:rPr>
          <w:rStyle w:val="CommentReference"/>
        </w:rPr>
        <w:t xml:space="preserve"> </w:t>
      </w:r>
      <w:r w:rsidR="00F1195D">
        <w:t xml:space="preserve">to </w:t>
      </w:r>
      <w:proofErr w:type="spellStart"/>
      <w:r w:rsidR="005B147D">
        <w:t>decluster</w:t>
      </w:r>
      <w:proofErr w:type="spellEnd"/>
      <w:r w:rsidR="005B147D">
        <w:t xml:space="preserve"> water-quality</w:t>
      </w:r>
      <w:r w:rsidR="000E5D12">
        <w:t xml:space="preserve"> data</w:t>
      </w:r>
      <w:r w:rsidR="00D62831">
        <w:t xml:space="preserve"> using an Excel-based tool</w:t>
      </w:r>
      <w:r w:rsidR="00F1195D">
        <w:t xml:space="preserve">. </w:t>
      </w:r>
      <w:r w:rsidR="000E5D12">
        <w:t>The declustering</w:t>
      </w:r>
      <w:r w:rsidR="00F1195D">
        <w:t xml:space="preserve"> method </w:t>
      </w:r>
      <w:r w:rsidR="000E5D12">
        <w:t>is accomplished by creating an equal-area grid over the study domain and spatially-weighting each well within each cell</w:t>
      </w:r>
      <w:r w:rsidR="00912E0F">
        <w:t xml:space="preserve"> (</w:t>
      </w:r>
      <w:proofErr w:type="spellStart"/>
      <w:r w:rsidR="00912E0F">
        <w:t>Isaaks</w:t>
      </w:r>
      <w:proofErr w:type="spellEnd"/>
      <w:r w:rsidR="00912E0F">
        <w:t xml:space="preserve"> and </w:t>
      </w:r>
      <w:proofErr w:type="spellStart"/>
      <w:r w:rsidR="00912E0F">
        <w:t>Srivastava</w:t>
      </w:r>
      <w:proofErr w:type="spellEnd"/>
      <w:r w:rsidR="00912E0F">
        <w:t xml:space="preserve"> 1989)</w:t>
      </w:r>
      <w:r w:rsidR="000E5D12">
        <w:t xml:space="preserve">. </w:t>
      </w:r>
      <w:r w:rsidR="005B147D">
        <w:t xml:space="preserve">As a result, </w:t>
      </w:r>
      <w:r w:rsidR="002A2027">
        <w:t>spatially-weighted nitrate concentrations can be calculated for each decade for each area and depth zone.</w:t>
      </w:r>
      <w:r w:rsidR="005B147D">
        <w:t xml:space="preserve"> Below is a hypothetical table that could be generated from the output of the proposed method.</w:t>
      </w:r>
    </w:p>
    <w:p w:rsidR="005E4128" w:rsidRDefault="005E4128"/>
    <w:p w:rsidR="005E4128" w:rsidRDefault="005E4128"/>
    <w:p w:rsidR="005E4128" w:rsidRDefault="005E4128"/>
    <w:p w:rsidR="005E4128" w:rsidRDefault="005E4128"/>
    <w:p w:rsidR="005E4128" w:rsidRDefault="005E4128"/>
    <w:tbl>
      <w:tblPr>
        <w:tblW w:w="7940" w:type="dxa"/>
        <w:tblInd w:w="97" w:type="dxa"/>
        <w:tblLook w:val="04A0"/>
      </w:tblPr>
      <w:tblGrid>
        <w:gridCol w:w="2920"/>
        <w:gridCol w:w="1180"/>
        <w:gridCol w:w="960"/>
        <w:gridCol w:w="960"/>
        <w:gridCol w:w="960"/>
        <w:gridCol w:w="960"/>
      </w:tblGrid>
      <w:tr w:rsidR="00064764" w:rsidRPr="00064764" w:rsidTr="00064764">
        <w:trPr>
          <w:trHeight w:val="660"/>
        </w:trPr>
        <w:tc>
          <w:tcPr>
            <w:tcW w:w="2920" w:type="dxa"/>
            <w:vMerge w:val="restart"/>
            <w:tcBorders>
              <w:top w:val="single" w:sz="4" w:space="0" w:color="auto"/>
              <w:left w:val="nil"/>
              <w:bottom w:val="single" w:sz="4" w:space="0" w:color="000000"/>
              <w:right w:val="nil"/>
            </w:tcBorders>
            <w:shd w:val="clear" w:color="auto" w:fill="auto"/>
            <w:noWrap/>
            <w:vAlign w:val="bottom"/>
            <w:hideMark/>
          </w:tcPr>
          <w:p w:rsidR="00064764" w:rsidRPr="00064764" w:rsidRDefault="00064764" w:rsidP="0006476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lastRenderedPageBreak/>
              <w:t xml:space="preserve">Study </w:t>
            </w:r>
            <w:r w:rsidRPr="00064764">
              <w:rPr>
                <w:rFonts w:ascii="Calibri" w:eastAsia="Times New Roman" w:hAnsi="Calibri" w:cs="Times New Roman"/>
                <w:color w:val="000000"/>
              </w:rPr>
              <w:t>Area</w:t>
            </w:r>
          </w:p>
        </w:tc>
        <w:tc>
          <w:tcPr>
            <w:tcW w:w="1180" w:type="dxa"/>
            <w:vMerge w:val="restart"/>
            <w:tcBorders>
              <w:top w:val="single" w:sz="4" w:space="0" w:color="auto"/>
              <w:left w:val="nil"/>
              <w:bottom w:val="single" w:sz="4" w:space="0" w:color="000000"/>
              <w:right w:val="nil"/>
            </w:tcBorders>
            <w:shd w:val="clear" w:color="auto" w:fill="auto"/>
            <w:noWrap/>
            <w:vAlign w:val="bottom"/>
            <w:hideMark/>
          </w:tcPr>
          <w:p w:rsidR="00064764" w:rsidRPr="00064764" w:rsidRDefault="00064764" w:rsidP="00064764">
            <w:pPr>
              <w:spacing w:after="0" w:line="240" w:lineRule="auto"/>
              <w:jc w:val="center"/>
              <w:rPr>
                <w:rFonts w:ascii="Calibri" w:eastAsia="Times New Roman" w:hAnsi="Calibri" w:cs="Times New Roman"/>
                <w:color w:val="000000"/>
              </w:rPr>
            </w:pPr>
            <w:r w:rsidRPr="00064764">
              <w:rPr>
                <w:rFonts w:ascii="Calibri" w:eastAsia="Times New Roman" w:hAnsi="Calibri" w:cs="Times New Roman"/>
                <w:color w:val="000000"/>
              </w:rPr>
              <w:t>Depth Zone</w:t>
            </w:r>
          </w:p>
        </w:tc>
        <w:tc>
          <w:tcPr>
            <w:tcW w:w="3840" w:type="dxa"/>
            <w:gridSpan w:val="4"/>
            <w:tcBorders>
              <w:top w:val="single" w:sz="4" w:space="0" w:color="auto"/>
              <w:left w:val="nil"/>
              <w:bottom w:val="nil"/>
              <w:right w:val="nil"/>
            </w:tcBorders>
            <w:shd w:val="clear" w:color="auto" w:fill="auto"/>
            <w:vAlign w:val="bottom"/>
            <w:hideMark/>
          </w:tcPr>
          <w:p w:rsidR="00064764" w:rsidRPr="00064764" w:rsidRDefault="00D62831" w:rsidP="00064764">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xml:space="preserve">Hypothetical </w:t>
            </w:r>
            <w:r w:rsidR="00064764" w:rsidRPr="00064764">
              <w:rPr>
                <w:rFonts w:ascii="Calibri" w:eastAsia="Times New Roman" w:hAnsi="Calibri" w:cs="Times New Roman"/>
                <w:color w:val="000000"/>
              </w:rPr>
              <w:t>Average Nitrate concentration</w:t>
            </w:r>
            <w:r w:rsidR="00064764" w:rsidRPr="00064764">
              <w:rPr>
                <w:rFonts w:ascii="Calibri" w:eastAsia="Times New Roman" w:hAnsi="Calibri" w:cs="Times New Roman"/>
                <w:color w:val="000000"/>
              </w:rPr>
              <w:br/>
              <w:t>(mg/L as N)</w:t>
            </w:r>
          </w:p>
        </w:tc>
      </w:tr>
      <w:tr w:rsidR="00064764" w:rsidRPr="00064764" w:rsidTr="00064764">
        <w:trPr>
          <w:trHeight w:val="300"/>
        </w:trPr>
        <w:tc>
          <w:tcPr>
            <w:tcW w:w="2920" w:type="dxa"/>
            <w:vMerge/>
            <w:tcBorders>
              <w:top w:val="single" w:sz="4" w:space="0" w:color="auto"/>
              <w:left w:val="nil"/>
              <w:bottom w:val="single" w:sz="4" w:space="0" w:color="000000"/>
              <w:right w:val="nil"/>
            </w:tcBorders>
            <w:vAlign w:val="center"/>
            <w:hideMark/>
          </w:tcPr>
          <w:p w:rsidR="00064764" w:rsidRPr="00064764" w:rsidRDefault="00064764" w:rsidP="00064764">
            <w:pPr>
              <w:spacing w:after="0" w:line="240" w:lineRule="auto"/>
              <w:rPr>
                <w:rFonts w:ascii="Calibri" w:eastAsia="Times New Roman" w:hAnsi="Calibri" w:cs="Times New Roman"/>
                <w:color w:val="000000"/>
              </w:rPr>
            </w:pPr>
          </w:p>
        </w:tc>
        <w:tc>
          <w:tcPr>
            <w:tcW w:w="1180" w:type="dxa"/>
            <w:vMerge/>
            <w:tcBorders>
              <w:top w:val="single" w:sz="4" w:space="0" w:color="auto"/>
              <w:left w:val="nil"/>
              <w:bottom w:val="single" w:sz="4" w:space="0" w:color="000000"/>
              <w:right w:val="nil"/>
            </w:tcBorders>
            <w:vAlign w:val="center"/>
            <w:hideMark/>
          </w:tcPr>
          <w:p w:rsidR="00064764" w:rsidRPr="00064764" w:rsidRDefault="00064764" w:rsidP="00064764">
            <w:pPr>
              <w:spacing w:after="0" w:line="240" w:lineRule="auto"/>
              <w:rPr>
                <w:rFonts w:ascii="Calibri" w:eastAsia="Times New Roman" w:hAnsi="Calibri" w:cs="Times New Roman"/>
                <w:color w:val="000000"/>
              </w:rPr>
            </w:pPr>
          </w:p>
        </w:tc>
        <w:tc>
          <w:tcPr>
            <w:tcW w:w="960" w:type="dxa"/>
            <w:tcBorders>
              <w:top w:val="nil"/>
              <w:left w:val="nil"/>
              <w:bottom w:val="single" w:sz="4" w:space="0" w:color="auto"/>
              <w:right w:val="nil"/>
            </w:tcBorders>
            <w:shd w:val="clear" w:color="auto" w:fill="auto"/>
            <w:vAlign w:val="bottom"/>
            <w:hideMark/>
          </w:tcPr>
          <w:p w:rsidR="00064764" w:rsidRPr="00064764" w:rsidRDefault="00064764" w:rsidP="00064764">
            <w:pPr>
              <w:spacing w:after="0" w:line="240" w:lineRule="auto"/>
              <w:jc w:val="center"/>
              <w:rPr>
                <w:rFonts w:ascii="Calibri" w:eastAsia="Times New Roman" w:hAnsi="Calibri" w:cs="Times New Roman"/>
                <w:color w:val="000000"/>
              </w:rPr>
            </w:pPr>
            <w:r w:rsidRPr="00064764">
              <w:rPr>
                <w:rFonts w:ascii="Calibri" w:eastAsia="Times New Roman" w:hAnsi="Calibri" w:cs="Times New Roman"/>
                <w:color w:val="000000"/>
              </w:rPr>
              <w:t>1970s</w:t>
            </w:r>
          </w:p>
        </w:tc>
        <w:tc>
          <w:tcPr>
            <w:tcW w:w="960" w:type="dxa"/>
            <w:tcBorders>
              <w:top w:val="nil"/>
              <w:left w:val="nil"/>
              <w:bottom w:val="single" w:sz="4" w:space="0" w:color="auto"/>
              <w:right w:val="nil"/>
            </w:tcBorders>
            <w:shd w:val="clear" w:color="auto" w:fill="auto"/>
            <w:vAlign w:val="bottom"/>
            <w:hideMark/>
          </w:tcPr>
          <w:p w:rsidR="00064764" w:rsidRPr="00064764" w:rsidRDefault="00064764" w:rsidP="00064764">
            <w:pPr>
              <w:spacing w:after="0" w:line="240" w:lineRule="auto"/>
              <w:jc w:val="center"/>
              <w:rPr>
                <w:rFonts w:ascii="Calibri" w:eastAsia="Times New Roman" w:hAnsi="Calibri" w:cs="Times New Roman"/>
                <w:color w:val="000000"/>
              </w:rPr>
            </w:pPr>
            <w:r w:rsidRPr="00064764">
              <w:rPr>
                <w:rFonts w:ascii="Calibri" w:eastAsia="Times New Roman" w:hAnsi="Calibri" w:cs="Times New Roman"/>
                <w:color w:val="000000"/>
              </w:rPr>
              <w:t>1980s</w:t>
            </w:r>
          </w:p>
        </w:tc>
        <w:tc>
          <w:tcPr>
            <w:tcW w:w="960" w:type="dxa"/>
            <w:tcBorders>
              <w:top w:val="nil"/>
              <w:left w:val="nil"/>
              <w:bottom w:val="single" w:sz="4" w:space="0" w:color="auto"/>
              <w:right w:val="nil"/>
            </w:tcBorders>
            <w:shd w:val="clear" w:color="auto" w:fill="auto"/>
            <w:vAlign w:val="bottom"/>
            <w:hideMark/>
          </w:tcPr>
          <w:p w:rsidR="00064764" w:rsidRPr="00064764" w:rsidRDefault="00064764" w:rsidP="00064764">
            <w:pPr>
              <w:spacing w:after="0" w:line="240" w:lineRule="auto"/>
              <w:jc w:val="center"/>
              <w:rPr>
                <w:rFonts w:ascii="Calibri" w:eastAsia="Times New Roman" w:hAnsi="Calibri" w:cs="Times New Roman"/>
                <w:color w:val="000000"/>
              </w:rPr>
            </w:pPr>
            <w:r w:rsidRPr="00064764">
              <w:rPr>
                <w:rFonts w:ascii="Calibri" w:eastAsia="Times New Roman" w:hAnsi="Calibri" w:cs="Times New Roman"/>
                <w:color w:val="000000"/>
              </w:rPr>
              <w:t>1990s</w:t>
            </w:r>
          </w:p>
        </w:tc>
        <w:tc>
          <w:tcPr>
            <w:tcW w:w="960" w:type="dxa"/>
            <w:tcBorders>
              <w:top w:val="nil"/>
              <w:left w:val="nil"/>
              <w:bottom w:val="single" w:sz="4" w:space="0" w:color="auto"/>
              <w:right w:val="nil"/>
            </w:tcBorders>
            <w:shd w:val="clear" w:color="auto" w:fill="auto"/>
            <w:vAlign w:val="bottom"/>
            <w:hideMark/>
          </w:tcPr>
          <w:p w:rsidR="00064764" w:rsidRPr="00064764" w:rsidRDefault="00064764" w:rsidP="00064764">
            <w:pPr>
              <w:spacing w:after="0" w:line="240" w:lineRule="auto"/>
              <w:jc w:val="center"/>
              <w:rPr>
                <w:rFonts w:ascii="Calibri" w:eastAsia="Times New Roman" w:hAnsi="Calibri" w:cs="Times New Roman"/>
                <w:color w:val="000000"/>
              </w:rPr>
            </w:pPr>
            <w:r w:rsidRPr="00064764">
              <w:rPr>
                <w:rFonts w:ascii="Calibri" w:eastAsia="Times New Roman" w:hAnsi="Calibri" w:cs="Times New Roman"/>
                <w:color w:val="000000"/>
              </w:rPr>
              <w:t>2000s</w:t>
            </w:r>
          </w:p>
        </w:tc>
      </w:tr>
      <w:tr w:rsidR="00064764" w:rsidRPr="00064764" w:rsidTr="00064764">
        <w:trPr>
          <w:trHeight w:val="300"/>
        </w:trPr>
        <w:tc>
          <w:tcPr>
            <w:tcW w:w="292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Eastern San Joaquin Valley</w:t>
            </w:r>
          </w:p>
        </w:tc>
        <w:tc>
          <w:tcPr>
            <w:tcW w:w="118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&lt; 200 ft</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12</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15</w:t>
            </w:r>
          </w:p>
        </w:tc>
      </w:tr>
      <w:tr w:rsidR="00064764" w:rsidRPr="00064764" w:rsidTr="00064764">
        <w:trPr>
          <w:trHeight w:val="300"/>
        </w:trPr>
        <w:tc>
          <w:tcPr>
            <w:tcW w:w="292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Eastern San Joaquin Valley</w:t>
            </w:r>
          </w:p>
        </w:tc>
        <w:tc>
          <w:tcPr>
            <w:tcW w:w="118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&gt; 200 ft</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2</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4</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5</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8</w:t>
            </w:r>
          </w:p>
        </w:tc>
      </w:tr>
      <w:tr w:rsidR="00064764" w:rsidRPr="00064764" w:rsidTr="00064764">
        <w:trPr>
          <w:trHeight w:val="300"/>
        </w:trPr>
        <w:tc>
          <w:tcPr>
            <w:tcW w:w="292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Western San Joaquin Valley</w:t>
            </w:r>
          </w:p>
        </w:tc>
        <w:tc>
          <w:tcPr>
            <w:tcW w:w="118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&lt; 150 ft</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8</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10</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12</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15</w:t>
            </w:r>
          </w:p>
        </w:tc>
      </w:tr>
      <w:tr w:rsidR="00064764" w:rsidRPr="00064764" w:rsidTr="00064764">
        <w:trPr>
          <w:trHeight w:val="300"/>
        </w:trPr>
        <w:tc>
          <w:tcPr>
            <w:tcW w:w="292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Western San Joaquin Valley</w:t>
            </w:r>
          </w:p>
        </w:tc>
        <w:tc>
          <w:tcPr>
            <w:tcW w:w="118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&gt; 150ft</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2</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4</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5</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8</w:t>
            </w:r>
          </w:p>
        </w:tc>
      </w:tr>
      <w:tr w:rsidR="00064764" w:rsidRPr="00064764" w:rsidTr="00064764">
        <w:trPr>
          <w:trHeight w:val="300"/>
        </w:trPr>
        <w:tc>
          <w:tcPr>
            <w:tcW w:w="292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Basin and Floodplain deposits</w:t>
            </w:r>
          </w:p>
        </w:tc>
        <w:tc>
          <w:tcPr>
            <w:tcW w:w="118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&lt; 250 ft</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2</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3</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3</w:t>
            </w:r>
          </w:p>
        </w:tc>
        <w:tc>
          <w:tcPr>
            <w:tcW w:w="960" w:type="dxa"/>
            <w:tcBorders>
              <w:top w:val="nil"/>
              <w:left w:val="nil"/>
              <w:bottom w:val="nil"/>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4</w:t>
            </w:r>
          </w:p>
        </w:tc>
      </w:tr>
      <w:tr w:rsidR="00064764" w:rsidRPr="00064764" w:rsidTr="00064764">
        <w:trPr>
          <w:trHeight w:val="300"/>
        </w:trPr>
        <w:tc>
          <w:tcPr>
            <w:tcW w:w="2920" w:type="dxa"/>
            <w:tcBorders>
              <w:top w:val="nil"/>
              <w:left w:val="nil"/>
              <w:bottom w:val="single" w:sz="4" w:space="0" w:color="auto"/>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Basin and Floodplain deposits</w:t>
            </w:r>
          </w:p>
        </w:tc>
        <w:tc>
          <w:tcPr>
            <w:tcW w:w="1180" w:type="dxa"/>
            <w:tcBorders>
              <w:top w:val="nil"/>
              <w:left w:val="nil"/>
              <w:bottom w:val="single" w:sz="4" w:space="0" w:color="auto"/>
              <w:right w:val="nil"/>
            </w:tcBorders>
            <w:shd w:val="clear" w:color="auto" w:fill="auto"/>
            <w:noWrap/>
            <w:vAlign w:val="bottom"/>
            <w:hideMark/>
          </w:tcPr>
          <w:p w:rsidR="00064764" w:rsidRPr="00064764" w:rsidRDefault="00064764" w:rsidP="00064764">
            <w:pPr>
              <w:spacing w:after="0" w:line="240" w:lineRule="auto"/>
              <w:rPr>
                <w:rFonts w:ascii="Calibri" w:eastAsia="Times New Roman" w:hAnsi="Calibri" w:cs="Times New Roman"/>
                <w:color w:val="000000"/>
              </w:rPr>
            </w:pPr>
            <w:r w:rsidRPr="00064764">
              <w:rPr>
                <w:rFonts w:ascii="Calibri" w:eastAsia="Times New Roman" w:hAnsi="Calibri" w:cs="Times New Roman"/>
                <w:color w:val="000000"/>
              </w:rPr>
              <w:t>&gt; 250 ft</w:t>
            </w:r>
          </w:p>
        </w:tc>
        <w:tc>
          <w:tcPr>
            <w:tcW w:w="960" w:type="dxa"/>
            <w:tcBorders>
              <w:top w:val="nil"/>
              <w:left w:val="nil"/>
              <w:bottom w:val="single" w:sz="4" w:space="0" w:color="auto"/>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2</w:t>
            </w:r>
          </w:p>
        </w:tc>
        <w:tc>
          <w:tcPr>
            <w:tcW w:w="960" w:type="dxa"/>
            <w:tcBorders>
              <w:top w:val="nil"/>
              <w:left w:val="nil"/>
              <w:bottom w:val="single" w:sz="4" w:space="0" w:color="auto"/>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2</w:t>
            </w:r>
          </w:p>
        </w:tc>
        <w:tc>
          <w:tcPr>
            <w:tcW w:w="960" w:type="dxa"/>
            <w:tcBorders>
              <w:top w:val="nil"/>
              <w:left w:val="nil"/>
              <w:bottom w:val="single" w:sz="4" w:space="0" w:color="auto"/>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2</w:t>
            </w:r>
          </w:p>
        </w:tc>
        <w:tc>
          <w:tcPr>
            <w:tcW w:w="960" w:type="dxa"/>
            <w:tcBorders>
              <w:top w:val="nil"/>
              <w:left w:val="nil"/>
              <w:bottom w:val="single" w:sz="4" w:space="0" w:color="auto"/>
              <w:right w:val="nil"/>
            </w:tcBorders>
            <w:shd w:val="clear" w:color="auto" w:fill="auto"/>
            <w:noWrap/>
            <w:vAlign w:val="bottom"/>
            <w:hideMark/>
          </w:tcPr>
          <w:p w:rsidR="00064764" w:rsidRPr="00064764" w:rsidRDefault="00064764" w:rsidP="00064764">
            <w:pPr>
              <w:spacing w:after="0" w:line="240" w:lineRule="auto"/>
              <w:jc w:val="right"/>
              <w:rPr>
                <w:rFonts w:ascii="Calibri" w:eastAsia="Times New Roman" w:hAnsi="Calibri" w:cs="Times New Roman"/>
                <w:color w:val="000000"/>
              </w:rPr>
            </w:pPr>
            <w:r w:rsidRPr="00064764">
              <w:rPr>
                <w:rFonts w:ascii="Calibri" w:eastAsia="Times New Roman" w:hAnsi="Calibri" w:cs="Times New Roman"/>
                <w:color w:val="000000"/>
              </w:rPr>
              <w:t>2</w:t>
            </w:r>
          </w:p>
        </w:tc>
      </w:tr>
    </w:tbl>
    <w:p w:rsidR="005B147D" w:rsidRDefault="005B147D" w:rsidP="00B02C46"/>
    <w:p w:rsidR="00FD2975" w:rsidRDefault="009C08C1" w:rsidP="00B02C46">
      <w:r>
        <w:t>The tool developed for this project will consist of three worksheets, each sheet devoted to completing one-step in obtaining the spatially weighted nitrate concentration</w:t>
      </w:r>
      <w:r w:rsidR="00F63057">
        <w:t xml:space="preserve"> for different depth zones</w:t>
      </w:r>
      <w:r>
        <w:t>.</w:t>
      </w:r>
      <w:r w:rsidR="00F63057">
        <w:t xml:space="preserve"> The tool could also be used to evaluate other constituents that may be changing in time such as TDS, bicarbonate, calcium or other.</w:t>
      </w:r>
    </w:p>
    <w:p w:rsidR="00FD2975" w:rsidRDefault="00FD2975" w:rsidP="00B02C46">
      <w:r>
        <w:t>The data compiled for this study may have some contractual restrictions regarding its use and dissemination: Three sources of nitrate data are available: NWIS</w:t>
      </w:r>
      <w:r w:rsidR="00D62831">
        <w:t xml:space="preserve"> (USGS-NAWQA and other USGS studies)</w:t>
      </w:r>
      <w:r>
        <w:t>, GAMA, CDPH.  NWIS  data is unrestricted; CDPH data have constraints due to an agreement signed by the CAWSC which obligates us to protect location and identity.  GAMA nitrate data would be restricted if it is CDPH</w:t>
      </w:r>
      <w:r w:rsidR="00D62831">
        <w:t xml:space="preserve"> well</w:t>
      </w:r>
      <w:r>
        <w:t xml:space="preserve">. Consequently, CDPH GAMA-CDPH well data will be provided but unidentifiable for purposes of protecting the agreement with the CAWSC. This data also should not be disseminated to other individuals without consent of the GAMA Priority Basin Project Chief, Kenneth </w:t>
      </w:r>
      <w:proofErr w:type="spellStart"/>
      <w:r>
        <w:t>Belitz</w:t>
      </w:r>
      <w:proofErr w:type="spellEnd"/>
      <w:r>
        <w:t>.</w:t>
      </w:r>
    </w:p>
    <w:p w:rsidR="00B02C46" w:rsidRDefault="000B4A9A" w:rsidP="005754F4">
      <w:pPr>
        <w:pStyle w:val="Heading1"/>
      </w:pPr>
      <w:proofErr w:type="spellStart"/>
      <w:r>
        <w:t>Workplan</w:t>
      </w:r>
      <w:proofErr w:type="spellEnd"/>
      <w:r w:rsidR="00963D5E">
        <w:t>:</w:t>
      </w:r>
    </w:p>
    <w:p w:rsidR="00963D5E" w:rsidRDefault="00240B61" w:rsidP="00EC011B">
      <w:pPr>
        <w:pStyle w:val="ListParagraph"/>
        <w:numPr>
          <w:ilvl w:val="0"/>
          <w:numId w:val="1"/>
        </w:numPr>
      </w:pPr>
      <w:r>
        <w:t xml:space="preserve">Develop </w:t>
      </w:r>
      <w:r w:rsidR="00AC258E">
        <w:t>tool</w:t>
      </w:r>
      <w:r w:rsidR="00A3358B">
        <w:t xml:space="preserve"> for computing spatially weighted</w:t>
      </w:r>
      <w:r w:rsidR="00EC011B">
        <w:t xml:space="preserve"> </w:t>
      </w:r>
      <w:r w:rsidR="00A3358B">
        <w:t>concentrations</w:t>
      </w:r>
    </w:p>
    <w:p w:rsidR="009C08C1" w:rsidRDefault="009C08C1" w:rsidP="00EC011B">
      <w:pPr>
        <w:pStyle w:val="ListParagraph"/>
        <w:numPr>
          <w:ilvl w:val="1"/>
          <w:numId w:val="1"/>
        </w:numPr>
      </w:pPr>
      <w:r>
        <w:t>Sheet 1: Process raw water-quality data into decadal bins</w:t>
      </w:r>
    </w:p>
    <w:p w:rsidR="008A0DE6" w:rsidRDefault="009C08C1" w:rsidP="009C08C1">
      <w:pPr>
        <w:pStyle w:val="ListParagraph"/>
        <w:numPr>
          <w:ilvl w:val="2"/>
          <w:numId w:val="1"/>
        </w:numPr>
      </w:pPr>
      <w:r>
        <w:t>Input: all nitrate samples</w:t>
      </w:r>
      <w:r w:rsidR="008A0DE6">
        <w:t xml:space="preserve"> for all wells (multiple nitrate analyses for each well)</w:t>
      </w:r>
    </w:p>
    <w:p w:rsidR="009C08C1" w:rsidRDefault="008A0DE6" w:rsidP="009C08C1">
      <w:pPr>
        <w:pStyle w:val="ListParagraph"/>
        <w:numPr>
          <w:ilvl w:val="2"/>
          <w:numId w:val="1"/>
        </w:numPr>
      </w:pPr>
      <w:r>
        <w:t xml:space="preserve">Output: </w:t>
      </w:r>
      <w:r w:rsidR="009C08C1">
        <w:t>The median concentration will be calculated for each well in each decade, beginning in the 1970s</w:t>
      </w:r>
    </w:p>
    <w:p w:rsidR="009C08C1" w:rsidRDefault="009C08C1" w:rsidP="009C08C1">
      <w:pPr>
        <w:pStyle w:val="ListParagraph"/>
        <w:numPr>
          <w:ilvl w:val="1"/>
          <w:numId w:val="1"/>
        </w:numPr>
      </w:pPr>
      <w:r>
        <w:t xml:space="preserve">Sheet 2: </w:t>
      </w:r>
      <w:r w:rsidR="008A0DE6">
        <w:t>Assign different depth zones for each study area</w:t>
      </w:r>
    </w:p>
    <w:p w:rsidR="008A0DE6" w:rsidRDefault="008A0DE6" w:rsidP="008A0DE6">
      <w:pPr>
        <w:pStyle w:val="ListParagraph"/>
        <w:numPr>
          <w:ilvl w:val="2"/>
          <w:numId w:val="1"/>
        </w:numPr>
      </w:pPr>
      <w:r>
        <w:t>Input: Output from sheet 1 plus cell number, well type, water level, and well depth for each well</w:t>
      </w:r>
    </w:p>
    <w:p w:rsidR="008A0DE6" w:rsidRDefault="008A0DE6" w:rsidP="008A0DE6">
      <w:pPr>
        <w:pStyle w:val="ListParagraph"/>
        <w:numPr>
          <w:ilvl w:val="2"/>
          <w:numId w:val="1"/>
        </w:numPr>
      </w:pPr>
      <w:r>
        <w:t>Output: Input plus depth zone category as defined by user input (depth cut off)</w:t>
      </w:r>
    </w:p>
    <w:p w:rsidR="008A0DE6" w:rsidRDefault="008A0DE6" w:rsidP="008A0DE6">
      <w:pPr>
        <w:pStyle w:val="ListParagraph"/>
        <w:numPr>
          <w:ilvl w:val="1"/>
          <w:numId w:val="1"/>
        </w:numPr>
      </w:pPr>
      <w:r>
        <w:t>Sheet 3: Determine spatially-weighted nitrate concentrations for each study area, depth zones and decades</w:t>
      </w:r>
    </w:p>
    <w:p w:rsidR="008A0DE6" w:rsidRDefault="008A0DE6" w:rsidP="008A0DE6">
      <w:pPr>
        <w:pStyle w:val="ListParagraph"/>
        <w:numPr>
          <w:ilvl w:val="2"/>
          <w:numId w:val="1"/>
        </w:numPr>
      </w:pPr>
      <w:r>
        <w:t>modified from existing program in GCT</w:t>
      </w:r>
    </w:p>
    <w:p w:rsidR="008A0DE6" w:rsidRDefault="008A0DE6" w:rsidP="008A0DE6">
      <w:pPr>
        <w:pStyle w:val="ListParagraph"/>
        <w:numPr>
          <w:ilvl w:val="2"/>
          <w:numId w:val="1"/>
        </w:numPr>
      </w:pPr>
      <w:r>
        <w:t>could also be used for other variables such as TDS, bicarbonate, calcium…</w:t>
      </w:r>
    </w:p>
    <w:p w:rsidR="004C2E24" w:rsidRDefault="004C2E24" w:rsidP="004C2E24">
      <w:pPr>
        <w:pStyle w:val="ListParagraph"/>
        <w:numPr>
          <w:ilvl w:val="1"/>
          <w:numId w:val="1"/>
        </w:numPr>
      </w:pPr>
      <w:r>
        <w:t>Testing/Debugging</w:t>
      </w:r>
    </w:p>
    <w:p w:rsidR="00AC258E" w:rsidRDefault="00AC258E" w:rsidP="00AC258E">
      <w:pPr>
        <w:pStyle w:val="ListParagraph"/>
        <w:rPr>
          <w:b/>
        </w:rPr>
      </w:pPr>
    </w:p>
    <w:p w:rsidR="00AC258E" w:rsidRPr="0091028E" w:rsidRDefault="00AC258E" w:rsidP="00AC258E">
      <w:pPr>
        <w:pStyle w:val="ListParagraph"/>
        <w:rPr>
          <w:b/>
        </w:rPr>
      </w:pPr>
      <w:r>
        <w:rPr>
          <w:b/>
        </w:rPr>
        <w:lastRenderedPageBreak/>
        <w:t>Work done to date: 2</w:t>
      </w:r>
      <w:r w:rsidR="00D62831">
        <w:rPr>
          <w:b/>
        </w:rPr>
        <w:t>0</w:t>
      </w:r>
      <w:r>
        <w:rPr>
          <w:b/>
        </w:rPr>
        <w:t>0</w:t>
      </w:r>
      <w:r w:rsidRPr="0091028E">
        <w:rPr>
          <w:b/>
        </w:rPr>
        <w:t xml:space="preserve"> hours </w:t>
      </w:r>
    </w:p>
    <w:p w:rsidR="00A67721" w:rsidRDefault="00912E0F" w:rsidP="00A67721">
      <w:pPr>
        <w:pStyle w:val="ListParagraph"/>
        <w:rPr>
          <w:b/>
        </w:rPr>
      </w:pPr>
      <w:r>
        <w:rPr>
          <w:b/>
        </w:rPr>
        <w:t>Work needed to complete task</w:t>
      </w:r>
      <w:r w:rsidR="00354D26">
        <w:rPr>
          <w:b/>
        </w:rPr>
        <w:t>: 18</w:t>
      </w:r>
      <w:r w:rsidR="00A67721" w:rsidRPr="004C2E24">
        <w:rPr>
          <w:b/>
        </w:rPr>
        <w:t>0 hours</w:t>
      </w:r>
    </w:p>
    <w:p w:rsidR="00F63057" w:rsidRPr="004C2E24" w:rsidRDefault="00F63057" w:rsidP="00A67721">
      <w:pPr>
        <w:pStyle w:val="ListParagraph"/>
        <w:rPr>
          <w:b/>
        </w:rPr>
      </w:pPr>
    </w:p>
    <w:p w:rsidR="00240B61" w:rsidRDefault="00E90C1A" w:rsidP="00E90C1A">
      <w:pPr>
        <w:pStyle w:val="ListParagraph"/>
        <w:numPr>
          <w:ilvl w:val="0"/>
          <w:numId w:val="1"/>
        </w:numPr>
      </w:pPr>
      <w:r>
        <w:t>Data Compilation</w:t>
      </w:r>
    </w:p>
    <w:p w:rsidR="00E90C1A" w:rsidRDefault="00E90C1A" w:rsidP="00E90C1A">
      <w:pPr>
        <w:pStyle w:val="ListParagraph"/>
        <w:numPr>
          <w:ilvl w:val="1"/>
          <w:numId w:val="1"/>
        </w:numPr>
      </w:pPr>
      <w:r>
        <w:t>Retrieve and process chemical data</w:t>
      </w:r>
      <w:r w:rsidR="00D62831">
        <w:t xml:space="preserve"> (nitrate)</w:t>
      </w:r>
    </w:p>
    <w:p w:rsidR="00E90C1A" w:rsidRDefault="00E90C1A" w:rsidP="00E90C1A">
      <w:pPr>
        <w:pStyle w:val="ListParagraph"/>
        <w:numPr>
          <w:ilvl w:val="1"/>
          <w:numId w:val="1"/>
        </w:numPr>
      </w:pPr>
      <w:r>
        <w:t>Retrieve well construction info</w:t>
      </w:r>
      <w:r w:rsidR="008A0DE6">
        <w:t xml:space="preserve"> plus water level</w:t>
      </w:r>
    </w:p>
    <w:p w:rsidR="00AC258E" w:rsidRDefault="00AC258E" w:rsidP="00AC258E">
      <w:pPr>
        <w:pStyle w:val="ListParagraph"/>
        <w:rPr>
          <w:b/>
        </w:rPr>
      </w:pPr>
    </w:p>
    <w:p w:rsidR="00AC258E" w:rsidRPr="0091028E" w:rsidRDefault="00AC258E" w:rsidP="00AC258E">
      <w:pPr>
        <w:pStyle w:val="ListParagraph"/>
        <w:rPr>
          <w:b/>
        </w:rPr>
      </w:pPr>
      <w:r>
        <w:rPr>
          <w:b/>
        </w:rPr>
        <w:t>Work done to date: 120</w:t>
      </w:r>
      <w:r w:rsidRPr="0091028E">
        <w:rPr>
          <w:b/>
        </w:rPr>
        <w:t xml:space="preserve"> hours </w:t>
      </w:r>
    </w:p>
    <w:p w:rsidR="00A67721" w:rsidRDefault="00AC258E" w:rsidP="00F63057">
      <w:pPr>
        <w:pStyle w:val="ListParagraph"/>
        <w:rPr>
          <w:b/>
        </w:rPr>
      </w:pPr>
      <w:r>
        <w:rPr>
          <w:b/>
        </w:rPr>
        <w:t>Work needed to complete task</w:t>
      </w:r>
      <w:r w:rsidR="00D1178F">
        <w:rPr>
          <w:b/>
        </w:rPr>
        <w:t>: 8</w:t>
      </w:r>
      <w:r w:rsidR="00A67721" w:rsidRPr="004C2E24">
        <w:rPr>
          <w:b/>
        </w:rPr>
        <w:t>0 hours</w:t>
      </w:r>
    </w:p>
    <w:p w:rsidR="00F63057" w:rsidRPr="004C2E24" w:rsidRDefault="00F63057" w:rsidP="00F63057">
      <w:pPr>
        <w:pStyle w:val="ListParagraph"/>
        <w:rPr>
          <w:b/>
        </w:rPr>
      </w:pPr>
    </w:p>
    <w:p w:rsidR="008A0DE6" w:rsidRDefault="008A0DE6" w:rsidP="008A0DE6">
      <w:pPr>
        <w:pStyle w:val="ListParagraph"/>
        <w:numPr>
          <w:ilvl w:val="0"/>
          <w:numId w:val="1"/>
        </w:numPr>
      </w:pPr>
      <w:r>
        <w:t>Define study areas and create equal-area grid</w:t>
      </w:r>
      <w:r w:rsidR="00076115">
        <w:t xml:space="preserve"> </w:t>
      </w:r>
      <w:r w:rsidR="00AC258E">
        <w:t>(</w:t>
      </w:r>
      <w:r w:rsidR="00076115">
        <w:t>Tyler</w:t>
      </w:r>
      <w:r w:rsidR="00AC258E">
        <w:t xml:space="preserve"> Johnson</w:t>
      </w:r>
      <w:r w:rsidR="00076115">
        <w:t>/Bryant)</w:t>
      </w:r>
    </w:p>
    <w:p w:rsidR="00A67721" w:rsidRDefault="008A0DE6" w:rsidP="00F63057">
      <w:pPr>
        <w:pStyle w:val="ListParagraph"/>
        <w:numPr>
          <w:ilvl w:val="1"/>
          <w:numId w:val="1"/>
        </w:numPr>
      </w:pPr>
      <w:r>
        <w:t xml:space="preserve">Study areas </w:t>
      </w:r>
      <w:r w:rsidR="00076115">
        <w:t xml:space="preserve">for CV defined by </w:t>
      </w:r>
      <w:proofErr w:type="spellStart"/>
      <w:r w:rsidR="00076115">
        <w:t>p</w:t>
      </w:r>
      <w:r w:rsidR="00A67721">
        <w:t>hysiography</w:t>
      </w:r>
      <w:proofErr w:type="spellEnd"/>
    </w:p>
    <w:p w:rsidR="00076115" w:rsidRDefault="00076115" w:rsidP="00F63057">
      <w:pPr>
        <w:pStyle w:val="ListParagraph"/>
        <w:numPr>
          <w:ilvl w:val="2"/>
          <w:numId w:val="1"/>
        </w:numPr>
      </w:pPr>
      <w:r>
        <w:t>assign study areas to wells</w:t>
      </w:r>
    </w:p>
    <w:p w:rsidR="005B147D" w:rsidRDefault="005B147D" w:rsidP="00F63057">
      <w:pPr>
        <w:pStyle w:val="ListParagraph"/>
        <w:numPr>
          <w:ilvl w:val="1"/>
          <w:numId w:val="1"/>
        </w:numPr>
      </w:pPr>
      <w:r>
        <w:t>Equal-area grid</w:t>
      </w:r>
    </w:p>
    <w:p w:rsidR="005B147D" w:rsidRDefault="00076115" w:rsidP="00F63057">
      <w:pPr>
        <w:pStyle w:val="ListParagraph"/>
        <w:numPr>
          <w:ilvl w:val="2"/>
          <w:numId w:val="1"/>
        </w:numPr>
      </w:pPr>
      <w:r>
        <w:t>C</w:t>
      </w:r>
      <w:r w:rsidR="005B147D">
        <w:t>reate the</w:t>
      </w:r>
      <w:r>
        <w:t xml:space="preserve"> equal-area</w:t>
      </w:r>
      <w:r w:rsidR="005B147D">
        <w:t xml:space="preserve"> grid for the Central Valley</w:t>
      </w:r>
      <w:r>
        <w:t xml:space="preserve"> study areas</w:t>
      </w:r>
      <w:r w:rsidR="005B147D">
        <w:t xml:space="preserve"> as well as the other principal aquifers.</w:t>
      </w:r>
    </w:p>
    <w:p w:rsidR="00AC258E" w:rsidRDefault="00076115" w:rsidP="00AC258E">
      <w:pPr>
        <w:pStyle w:val="ListParagraph"/>
        <w:numPr>
          <w:ilvl w:val="2"/>
          <w:numId w:val="1"/>
        </w:numPr>
      </w:pPr>
      <w:r>
        <w:t>Assign cell numbers to wells</w:t>
      </w:r>
    </w:p>
    <w:p w:rsidR="00B427BC" w:rsidRDefault="00B427BC" w:rsidP="00AC258E">
      <w:pPr>
        <w:pStyle w:val="ListParagraph"/>
        <w:numPr>
          <w:ilvl w:val="2"/>
          <w:numId w:val="1"/>
        </w:numPr>
      </w:pPr>
      <w:r>
        <w:t>Possible development of tool to automate this process</w:t>
      </w:r>
    </w:p>
    <w:p w:rsidR="00B427BC" w:rsidRDefault="00B427BC" w:rsidP="00B427BC">
      <w:pPr>
        <w:pStyle w:val="ListParagraph"/>
        <w:numPr>
          <w:ilvl w:val="3"/>
          <w:numId w:val="1"/>
        </w:numPr>
      </w:pPr>
      <w:r>
        <w:t>Input polygon domain, #cells, area of each cell</w:t>
      </w:r>
    </w:p>
    <w:p w:rsidR="00B427BC" w:rsidRDefault="00B427BC" w:rsidP="00B427BC">
      <w:pPr>
        <w:pStyle w:val="ListParagraph"/>
        <w:numPr>
          <w:ilvl w:val="3"/>
          <w:numId w:val="1"/>
        </w:numPr>
      </w:pPr>
      <w:r>
        <w:t>Output is an equal-area grid which can be used to attach cell numbers to wells</w:t>
      </w:r>
    </w:p>
    <w:p w:rsidR="00AC258E" w:rsidRDefault="00AC258E" w:rsidP="00D1178F">
      <w:pPr>
        <w:pStyle w:val="ListParagraph"/>
        <w:rPr>
          <w:b/>
        </w:rPr>
      </w:pPr>
      <w:r>
        <w:rPr>
          <w:b/>
        </w:rPr>
        <w:t>Work done to date: 8 hours</w:t>
      </w:r>
    </w:p>
    <w:p w:rsidR="00A67721" w:rsidRPr="004C2E24" w:rsidRDefault="00AC258E" w:rsidP="00D1178F">
      <w:pPr>
        <w:pStyle w:val="ListParagraph"/>
        <w:rPr>
          <w:b/>
        </w:rPr>
      </w:pPr>
      <w:r>
        <w:rPr>
          <w:b/>
        </w:rPr>
        <w:t>Work needed to complete task</w:t>
      </w:r>
      <w:r w:rsidR="00A67721" w:rsidRPr="004C2E24">
        <w:rPr>
          <w:b/>
        </w:rPr>
        <w:t>: 80 hours</w:t>
      </w:r>
    </w:p>
    <w:p w:rsidR="00A67721" w:rsidRDefault="00A67721" w:rsidP="00A67721">
      <w:pPr>
        <w:pStyle w:val="ListParagraph"/>
        <w:numPr>
          <w:ilvl w:val="0"/>
          <w:numId w:val="1"/>
        </w:numPr>
      </w:pPr>
      <w:r>
        <w:t>Analysis support</w:t>
      </w:r>
    </w:p>
    <w:p w:rsidR="00354D26" w:rsidRDefault="00354D26" w:rsidP="00354D26">
      <w:pPr>
        <w:pStyle w:val="ListParagraph"/>
        <w:numPr>
          <w:ilvl w:val="1"/>
          <w:numId w:val="1"/>
        </w:numPr>
      </w:pPr>
      <w:r>
        <w:t>Statistics</w:t>
      </w:r>
    </w:p>
    <w:p w:rsidR="00354D26" w:rsidRDefault="00354D26" w:rsidP="00354D26">
      <w:pPr>
        <w:pStyle w:val="ListParagraph"/>
        <w:numPr>
          <w:ilvl w:val="2"/>
          <w:numId w:val="1"/>
        </w:numPr>
      </w:pPr>
      <w:r>
        <w:t>summary statistics of the datasets (nitrate concentrations by well type for example)</w:t>
      </w:r>
    </w:p>
    <w:p w:rsidR="00354D26" w:rsidRDefault="00354D26" w:rsidP="00354D26">
      <w:pPr>
        <w:pStyle w:val="ListParagraph"/>
        <w:numPr>
          <w:ilvl w:val="2"/>
          <w:numId w:val="1"/>
        </w:numPr>
      </w:pPr>
      <w:r>
        <w:t>corr</w:t>
      </w:r>
      <w:r w:rsidR="00FD2975">
        <w:t xml:space="preserve">elation statistics of </w:t>
      </w:r>
      <w:r>
        <w:t>variables</w:t>
      </w:r>
    </w:p>
    <w:p w:rsidR="00354D26" w:rsidRPr="005754F4" w:rsidRDefault="00354D26" w:rsidP="00354D26">
      <w:pPr>
        <w:pStyle w:val="ListParagraph"/>
        <w:numPr>
          <w:ilvl w:val="1"/>
          <w:numId w:val="1"/>
        </w:numPr>
      </w:pPr>
      <w:r w:rsidRPr="005754F4">
        <w:t xml:space="preserve">Tables </w:t>
      </w:r>
    </w:p>
    <w:p w:rsidR="00354D26" w:rsidRPr="005754F4" w:rsidRDefault="00354D26" w:rsidP="00354D26">
      <w:pPr>
        <w:pStyle w:val="ListParagraph"/>
        <w:numPr>
          <w:ilvl w:val="2"/>
          <w:numId w:val="1"/>
        </w:numPr>
      </w:pPr>
      <w:r w:rsidRPr="005754F4">
        <w:t>CV nitrate summary table (see example above)</w:t>
      </w:r>
    </w:p>
    <w:p w:rsidR="00354D26" w:rsidRPr="005754F4" w:rsidRDefault="00354D26" w:rsidP="00354D26">
      <w:pPr>
        <w:pStyle w:val="ListParagraph"/>
        <w:numPr>
          <w:ilvl w:val="1"/>
          <w:numId w:val="1"/>
        </w:numPr>
      </w:pPr>
      <w:r w:rsidRPr="005754F4">
        <w:t>Figures</w:t>
      </w:r>
    </w:p>
    <w:p w:rsidR="00354D26" w:rsidRDefault="00354D26" w:rsidP="00354D26">
      <w:pPr>
        <w:pStyle w:val="ListParagraph"/>
        <w:numPr>
          <w:ilvl w:val="2"/>
          <w:numId w:val="1"/>
        </w:numPr>
      </w:pPr>
      <w:r>
        <w:t>Map showing nitrate concentration in wells in the Central Valley</w:t>
      </w:r>
    </w:p>
    <w:p w:rsidR="00354D26" w:rsidRDefault="00354D26" w:rsidP="00354D26">
      <w:pPr>
        <w:pStyle w:val="ListParagraph"/>
        <w:numPr>
          <w:ilvl w:val="2"/>
          <w:numId w:val="1"/>
        </w:numPr>
      </w:pPr>
      <w:r w:rsidRPr="005754F4">
        <w:t>box plots of various variables, e.g. well construction, nitrate</w:t>
      </w:r>
    </w:p>
    <w:p w:rsidR="00354D26" w:rsidRDefault="00354D26" w:rsidP="00354D26">
      <w:pPr>
        <w:pStyle w:val="ListParagraph"/>
        <w:numPr>
          <w:ilvl w:val="2"/>
          <w:numId w:val="1"/>
        </w:numPr>
      </w:pPr>
      <w:r>
        <w:t xml:space="preserve">x, y plots of </w:t>
      </w:r>
      <w:r w:rsidR="00FD2975">
        <w:t>v</w:t>
      </w:r>
      <w:r>
        <w:t>ariables</w:t>
      </w:r>
    </w:p>
    <w:p w:rsidR="00AC258E" w:rsidRDefault="00AC258E" w:rsidP="00E90C1A">
      <w:pPr>
        <w:pStyle w:val="ListParagraph"/>
        <w:rPr>
          <w:b/>
        </w:rPr>
      </w:pPr>
      <w:r>
        <w:rPr>
          <w:b/>
        </w:rPr>
        <w:t>Work done to date: 0 hours</w:t>
      </w:r>
    </w:p>
    <w:p w:rsidR="005B147D" w:rsidRDefault="00AC258E" w:rsidP="00E90C1A">
      <w:pPr>
        <w:pStyle w:val="ListParagraph"/>
        <w:rPr>
          <w:b/>
        </w:rPr>
      </w:pPr>
      <w:r>
        <w:rPr>
          <w:b/>
        </w:rPr>
        <w:t>Work needed to complete task</w:t>
      </w:r>
      <w:r w:rsidR="00D1178F">
        <w:rPr>
          <w:b/>
        </w:rPr>
        <w:t>: 18</w:t>
      </w:r>
      <w:r w:rsidR="00A67721" w:rsidRPr="004C2E24">
        <w:rPr>
          <w:b/>
        </w:rPr>
        <w:t>0 hours</w:t>
      </w:r>
    </w:p>
    <w:p w:rsidR="005B147D" w:rsidRPr="005754F4" w:rsidRDefault="005B147D" w:rsidP="005754F4">
      <w:pPr>
        <w:pStyle w:val="Heading1"/>
      </w:pPr>
      <w:r w:rsidRPr="005754F4">
        <w:t>Summary of deliverables:</w:t>
      </w:r>
    </w:p>
    <w:p w:rsidR="005B147D" w:rsidRPr="005754F4" w:rsidRDefault="00F63057" w:rsidP="005B147D">
      <w:pPr>
        <w:pStyle w:val="ListParagraph"/>
        <w:numPr>
          <w:ilvl w:val="0"/>
          <w:numId w:val="4"/>
        </w:numPr>
      </w:pPr>
      <w:r>
        <w:t>Tool to determine the s</w:t>
      </w:r>
      <w:r w:rsidR="005754F4" w:rsidRPr="005754F4">
        <w:t xml:space="preserve">patially-weighted </w:t>
      </w:r>
      <w:r>
        <w:t>concentration of nitrate as outlined above</w:t>
      </w:r>
    </w:p>
    <w:p w:rsidR="005754F4" w:rsidRPr="005754F4" w:rsidRDefault="005754F4" w:rsidP="005B147D">
      <w:pPr>
        <w:pStyle w:val="ListParagraph"/>
        <w:numPr>
          <w:ilvl w:val="0"/>
          <w:numId w:val="4"/>
        </w:numPr>
      </w:pPr>
      <w:r w:rsidRPr="005754F4">
        <w:t xml:space="preserve">Help </w:t>
      </w:r>
      <w:r>
        <w:t>develop/</w:t>
      </w:r>
      <w:r w:rsidRPr="005754F4">
        <w:t xml:space="preserve">automate algorithm for </w:t>
      </w:r>
      <w:r>
        <w:t xml:space="preserve">creation of </w:t>
      </w:r>
      <w:r w:rsidR="00F63057">
        <w:t>depth zones</w:t>
      </w:r>
    </w:p>
    <w:p w:rsidR="005754F4" w:rsidRPr="005754F4" w:rsidRDefault="005754F4" w:rsidP="005754F4">
      <w:pPr>
        <w:pStyle w:val="ListParagraph"/>
        <w:numPr>
          <w:ilvl w:val="1"/>
          <w:numId w:val="4"/>
        </w:numPr>
      </w:pPr>
      <w:r w:rsidRPr="005754F4">
        <w:t>This will allow the methods developed for the Central Valley to be transferred to other principal aquifers</w:t>
      </w:r>
    </w:p>
    <w:p w:rsidR="00AC258E" w:rsidRDefault="00AC258E" w:rsidP="006E792F">
      <w:pPr>
        <w:pStyle w:val="ListParagraph"/>
        <w:numPr>
          <w:ilvl w:val="0"/>
          <w:numId w:val="4"/>
        </w:numPr>
      </w:pPr>
      <w:r>
        <w:t>Equal-area grid for Central Valley</w:t>
      </w:r>
    </w:p>
    <w:p w:rsidR="00B427BC" w:rsidRDefault="00B427BC" w:rsidP="00B427BC">
      <w:pPr>
        <w:pStyle w:val="ListParagraph"/>
        <w:numPr>
          <w:ilvl w:val="1"/>
          <w:numId w:val="4"/>
        </w:numPr>
      </w:pPr>
      <w:r>
        <w:lastRenderedPageBreak/>
        <w:t>possible tool to automate this for other PAs</w:t>
      </w:r>
    </w:p>
    <w:p w:rsidR="00AC258E" w:rsidRDefault="00B427BC" w:rsidP="006E792F">
      <w:pPr>
        <w:pStyle w:val="ListParagraph"/>
        <w:numPr>
          <w:ilvl w:val="0"/>
          <w:numId w:val="4"/>
        </w:numPr>
      </w:pPr>
      <w:r>
        <w:t>Central Valley dataset containing CDPH, GAMA, and historical NWIS data</w:t>
      </w:r>
    </w:p>
    <w:p w:rsidR="00B427BC" w:rsidRDefault="00B427BC" w:rsidP="00B427BC">
      <w:pPr>
        <w:pStyle w:val="ListParagraph"/>
        <w:numPr>
          <w:ilvl w:val="1"/>
          <w:numId w:val="4"/>
        </w:numPr>
      </w:pPr>
      <w:r>
        <w:t>CDPH and GAMA-CDPH wells will not be identifiable</w:t>
      </w:r>
      <w:r w:rsidR="00D62831">
        <w:t xml:space="preserve"> by name or owner and located by cell number only</w:t>
      </w:r>
    </w:p>
    <w:p w:rsidR="006E792F" w:rsidRDefault="006E792F" w:rsidP="006E792F">
      <w:pPr>
        <w:pStyle w:val="ListParagraph"/>
        <w:numPr>
          <w:ilvl w:val="0"/>
          <w:numId w:val="4"/>
        </w:numPr>
      </w:pPr>
      <w:r>
        <w:t>Statistics</w:t>
      </w:r>
    </w:p>
    <w:p w:rsidR="006E792F" w:rsidRDefault="006E792F" w:rsidP="006E792F">
      <w:pPr>
        <w:pStyle w:val="ListParagraph"/>
        <w:numPr>
          <w:ilvl w:val="1"/>
          <w:numId w:val="4"/>
        </w:numPr>
      </w:pPr>
      <w:r>
        <w:t>summary statistics of the datasets (nitrate concentrations by well type for example)</w:t>
      </w:r>
    </w:p>
    <w:p w:rsidR="006E792F" w:rsidRDefault="006E792F" w:rsidP="006E792F">
      <w:pPr>
        <w:pStyle w:val="ListParagraph"/>
        <w:numPr>
          <w:ilvl w:val="1"/>
          <w:numId w:val="4"/>
        </w:numPr>
      </w:pPr>
      <w:r>
        <w:t>correlation statistics of requested variables</w:t>
      </w:r>
    </w:p>
    <w:p w:rsidR="005754F4" w:rsidRPr="005754F4" w:rsidRDefault="005754F4" w:rsidP="005B147D">
      <w:pPr>
        <w:pStyle w:val="ListParagraph"/>
        <w:numPr>
          <w:ilvl w:val="0"/>
          <w:numId w:val="4"/>
        </w:numPr>
      </w:pPr>
      <w:r w:rsidRPr="005754F4">
        <w:t xml:space="preserve">Tables </w:t>
      </w:r>
    </w:p>
    <w:p w:rsidR="005754F4" w:rsidRPr="005754F4" w:rsidRDefault="005754F4" w:rsidP="005754F4">
      <w:pPr>
        <w:pStyle w:val="ListParagraph"/>
        <w:numPr>
          <w:ilvl w:val="1"/>
          <w:numId w:val="4"/>
        </w:numPr>
      </w:pPr>
      <w:r w:rsidRPr="005754F4">
        <w:t>CV nitrate summary table (see example above)</w:t>
      </w:r>
    </w:p>
    <w:p w:rsidR="005754F4" w:rsidRPr="005754F4" w:rsidRDefault="005754F4" w:rsidP="005B147D">
      <w:pPr>
        <w:pStyle w:val="ListParagraph"/>
        <w:numPr>
          <w:ilvl w:val="0"/>
          <w:numId w:val="4"/>
        </w:numPr>
      </w:pPr>
      <w:r w:rsidRPr="005754F4">
        <w:t>Figures</w:t>
      </w:r>
    </w:p>
    <w:p w:rsidR="0013346B" w:rsidRDefault="0013346B" w:rsidP="005754F4">
      <w:pPr>
        <w:pStyle w:val="ListParagraph"/>
        <w:numPr>
          <w:ilvl w:val="1"/>
          <w:numId w:val="4"/>
        </w:numPr>
      </w:pPr>
      <w:r>
        <w:t>Map showing nitrate concentration in wells in the Central Valley</w:t>
      </w:r>
    </w:p>
    <w:p w:rsidR="005754F4" w:rsidRDefault="005754F4" w:rsidP="005754F4">
      <w:pPr>
        <w:pStyle w:val="ListParagraph"/>
        <w:numPr>
          <w:ilvl w:val="1"/>
          <w:numId w:val="4"/>
        </w:numPr>
      </w:pPr>
      <w:r w:rsidRPr="005754F4">
        <w:t>box plots of various variables, e.g. well construction, nitrate</w:t>
      </w:r>
    </w:p>
    <w:p w:rsidR="005754F4" w:rsidRDefault="005754F4" w:rsidP="005754F4">
      <w:pPr>
        <w:pStyle w:val="ListParagraph"/>
        <w:numPr>
          <w:ilvl w:val="1"/>
          <w:numId w:val="4"/>
        </w:numPr>
      </w:pPr>
      <w:r>
        <w:t>x, y plots</w:t>
      </w:r>
      <w:r w:rsidR="006E792F">
        <w:t xml:space="preserve"> of requested variables</w:t>
      </w:r>
    </w:p>
    <w:p w:rsidR="008F3195" w:rsidRPr="00354D26" w:rsidRDefault="009E42E5" w:rsidP="008F3195">
      <w:pPr>
        <w:rPr>
          <w:b/>
        </w:rPr>
      </w:pPr>
      <w:r w:rsidRPr="00354D26">
        <w:rPr>
          <w:b/>
        </w:rPr>
        <w:t>Total e</w:t>
      </w:r>
      <w:r w:rsidR="008F3195" w:rsidRPr="00354D26">
        <w:rPr>
          <w:b/>
        </w:rPr>
        <w:t xml:space="preserve">stimated </w:t>
      </w:r>
      <w:r w:rsidRPr="00354D26">
        <w:rPr>
          <w:b/>
        </w:rPr>
        <w:t>t</w:t>
      </w:r>
      <w:r w:rsidR="00C243C9" w:rsidRPr="00354D26">
        <w:rPr>
          <w:b/>
        </w:rPr>
        <w:t>ime: 13</w:t>
      </w:r>
      <w:r w:rsidRPr="00354D26">
        <w:rPr>
          <w:b/>
        </w:rPr>
        <w:t xml:space="preserve"> weeks or </w:t>
      </w:r>
      <w:r w:rsidR="00C243C9" w:rsidRPr="00354D26">
        <w:rPr>
          <w:b/>
        </w:rPr>
        <w:t>52</w:t>
      </w:r>
      <w:r w:rsidR="008F3195" w:rsidRPr="00354D26">
        <w:rPr>
          <w:b/>
        </w:rPr>
        <w:t>0 hours</w:t>
      </w:r>
    </w:p>
    <w:p w:rsidR="009E42E5" w:rsidRPr="00354D26" w:rsidRDefault="009E42E5" w:rsidP="008F3195">
      <w:pPr>
        <w:rPr>
          <w:b/>
        </w:rPr>
      </w:pPr>
      <w:r w:rsidRPr="00354D26">
        <w:rPr>
          <w:b/>
        </w:rPr>
        <w:t xml:space="preserve">Total budgeted time: 521 hours - 366 hours on CRKTR (trends account), 155 hours on </w:t>
      </w:r>
      <w:r w:rsidR="003263B2">
        <w:rPr>
          <w:b/>
        </w:rPr>
        <w:t xml:space="preserve">CRQ06 (National Synthesis </w:t>
      </w:r>
      <w:r w:rsidRPr="00354D26">
        <w:rPr>
          <w:b/>
        </w:rPr>
        <w:t>account)</w:t>
      </w:r>
    </w:p>
    <w:sectPr w:rsidR="009E42E5" w:rsidRPr="00354D26" w:rsidSect="00B373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964C7"/>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
    <w:nsid w:val="3C1F3345"/>
    <w:multiLevelType w:val="hybridMultilevel"/>
    <w:tmpl w:val="3DC89F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C704E1"/>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nsid w:val="6B7E20FA"/>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02C46"/>
    <w:rsid w:val="00007508"/>
    <w:rsid w:val="00064764"/>
    <w:rsid w:val="00076115"/>
    <w:rsid w:val="000B4A9A"/>
    <w:rsid w:val="000E5D12"/>
    <w:rsid w:val="0013346B"/>
    <w:rsid w:val="001E53E9"/>
    <w:rsid w:val="00240B61"/>
    <w:rsid w:val="002A2027"/>
    <w:rsid w:val="003263B2"/>
    <w:rsid w:val="003423B5"/>
    <w:rsid w:val="00354D26"/>
    <w:rsid w:val="003558FC"/>
    <w:rsid w:val="0046602B"/>
    <w:rsid w:val="004C2E24"/>
    <w:rsid w:val="005245C1"/>
    <w:rsid w:val="005754F4"/>
    <w:rsid w:val="00591734"/>
    <w:rsid w:val="005B147D"/>
    <w:rsid w:val="005E0850"/>
    <w:rsid w:val="005E4128"/>
    <w:rsid w:val="006B3591"/>
    <w:rsid w:val="006C7AA7"/>
    <w:rsid w:val="006E792F"/>
    <w:rsid w:val="007A0DC8"/>
    <w:rsid w:val="007E5505"/>
    <w:rsid w:val="008A0DE6"/>
    <w:rsid w:val="008F3195"/>
    <w:rsid w:val="00912E0F"/>
    <w:rsid w:val="0096139D"/>
    <w:rsid w:val="00963D5E"/>
    <w:rsid w:val="009C08C1"/>
    <w:rsid w:val="009C37BC"/>
    <w:rsid w:val="009E42E5"/>
    <w:rsid w:val="00A3358B"/>
    <w:rsid w:val="00A67721"/>
    <w:rsid w:val="00AA4AA6"/>
    <w:rsid w:val="00AC258E"/>
    <w:rsid w:val="00AF103F"/>
    <w:rsid w:val="00B02C46"/>
    <w:rsid w:val="00B37333"/>
    <w:rsid w:val="00B427BC"/>
    <w:rsid w:val="00C07DEF"/>
    <w:rsid w:val="00C243C9"/>
    <w:rsid w:val="00C76092"/>
    <w:rsid w:val="00C80559"/>
    <w:rsid w:val="00C84B9C"/>
    <w:rsid w:val="00CA73B0"/>
    <w:rsid w:val="00CB7F03"/>
    <w:rsid w:val="00CF1BDD"/>
    <w:rsid w:val="00D1178F"/>
    <w:rsid w:val="00D62831"/>
    <w:rsid w:val="00D93F99"/>
    <w:rsid w:val="00E640D3"/>
    <w:rsid w:val="00E90C1A"/>
    <w:rsid w:val="00EC011B"/>
    <w:rsid w:val="00F1195D"/>
    <w:rsid w:val="00F63057"/>
    <w:rsid w:val="00FD29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333"/>
  </w:style>
  <w:style w:type="paragraph" w:styleId="Heading1">
    <w:name w:val="heading 1"/>
    <w:basedOn w:val="Normal"/>
    <w:next w:val="Normal"/>
    <w:link w:val="Heading1Char"/>
    <w:uiPriority w:val="9"/>
    <w:qFormat/>
    <w:rsid w:val="00B02C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C46"/>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C011B"/>
    <w:pPr>
      <w:ind w:left="720"/>
      <w:contextualSpacing/>
    </w:pPr>
  </w:style>
  <w:style w:type="character" w:styleId="CommentReference">
    <w:name w:val="annotation reference"/>
    <w:basedOn w:val="DefaultParagraphFont"/>
    <w:uiPriority w:val="99"/>
    <w:semiHidden/>
    <w:unhideWhenUsed/>
    <w:rsid w:val="00A3358B"/>
    <w:rPr>
      <w:sz w:val="16"/>
      <w:szCs w:val="16"/>
    </w:rPr>
  </w:style>
  <w:style w:type="paragraph" w:styleId="CommentText">
    <w:name w:val="annotation text"/>
    <w:basedOn w:val="Normal"/>
    <w:link w:val="CommentTextChar"/>
    <w:uiPriority w:val="99"/>
    <w:semiHidden/>
    <w:unhideWhenUsed/>
    <w:rsid w:val="00A3358B"/>
    <w:pPr>
      <w:spacing w:line="240" w:lineRule="auto"/>
    </w:pPr>
    <w:rPr>
      <w:sz w:val="20"/>
      <w:szCs w:val="20"/>
    </w:rPr>
  </w:style>
  <w:style w:type="character" w:customStyle="1" w:styleId="CommentTextChar">
    <w:name w:val="Comment Text Char"/>
    <w:basedOn w:val="DefaultParagraphFont"/>
    <w:link w:val="CommentText"/>
    <w:uiPriority w:val="99"/>
    <w:semiHidden/>
    <w:rsid w:val="00A3358B"/>
    <w:rPr>
      <w:sz w:val="20"/>
      <w:szCs w:val="20"/>
    </w:rPr>
  </w:style>
  <w:style w:type="paragraph" w:styleId="CommentSubject">
    <w:name w:val="annotation subject"/>
    <w:basedOn w:val="CommentText"/>
    <w:next w:val="CommentText"/>
    <w:link w:val="CommentSubjectChar"/>
    <w:uiPriority w:val="99"/>
    <w:semiHidden/>
    <w:unhideWhenUsed/>
    <w:rsid w:val="00A3358B"/>
    <w:rPr>
      <w:b/>
      <w:bCs/>
    </w:rPr>
  </w:style>
  <w:style w:type="character" w:customStyle="1" w:styleId="CommentSubjectChar">
    <w:name w:val="Comment Subject Char"/>
    <w:basedOn w:val="CommentTextChar"/>
    <w:link w:val="CommentSubject"/>
    <w:uiPriority w:val="99"/>
    <w:semiHidden/>
    <w:rsid w:val="00A3358B"/>
    <w:rPr>
      <w:b/>
      <w:bCs/>
    </w:rPr>
  </w:style>
  <w:style w:type="paragraph" w:styleId="BalloonText">
    <w:name w:val="Balloon Text"/>
    <w:basedOn w:val="Normal"/>
    <w:link w:val="BalloonTextChar"/>
    <w:uiPriority w:val="99"/>
    <w:semiHidden/>
    <w:unhideWhenUsed/>
    <w:rsid w:val="00A335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35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2051940">
      <w:bodyDiv w:val="1"/>
      <w:marLeft w:val="0"/>
      <w:marRight w:val="0"/>
      <w:marTop w:val="0"/>
      <w:marBottom w:val="0"/>
      <w:divBdr>
        <w:top w:val="none" w:sz="0" w:space="0" w:color="auto"/>
        <w:left w:val="none" w:sz="0" w:space="0" w:color="auto"/>
        <w:bottom w:val="none" w:sz="0" w:space="0" w:color="auto"/>
        <w:right w:val="none" w:sz="0" w:space="0" w:color="auto"/>
      </w:divBdr>
    </w:div>
    <w:div w:id="185692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1958D-04E6-4D2D-858D-FBEB9D824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1025</Words>
  <Characters>5844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doi</Company>
  <LinksUpToDate>false</LinksUpToDate>
  <CharactersWithSpaces>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bjurgens</dc:creator>
  <cp:keywords/>
  <dc:description/>
  <cp:lastModifiedBy>bjurgens</cp:lastModifiedBy>
  <cp:revision>4</cp:revision>
  <cp:lastPrinted>2009-04-06T17:40:00Z</cp:lastPrinted>
  <dcterms:created xsi:type="dcterms:W3CDTF">2009-04-06T17:40:00Z</dcterms:created>
  <dcterms:modified xsi:type="dcterms:W3CDTF">2009-04-06T18:45:00Z</dcterms:modified>
</cp:coreProperties>
</file>